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color="auto" w:fill="FFFFFF"/>
        </w:rPr>
      </w:pPr>
    </w:p>
    <w:p>
      <w:pPr>
        <w:spacing w:line="480" w:lineRule="auto"/>
        <w:jc w:val="center"/>
        <w:rPr>
          <w:rFonts w:hint="default" w:eastAsia="宋体"/>
          <w:sz w:val="40"/>
          <w:szCs w:val="40"/>
          <w:vertAlign w:val="baseline"/>
          <w:lang w:val="en-US" w:eastAsia="zh-CN"/>
        </w:rPr>
      </w:pPr>
      <w:r>
        <w:rPr>
          <w:rFonts w:hint="eastAsia"/>
          <w:sz w:val="40"/>
          <w:szCs w:val="40"/>
          <w:vertAlign w:val="baseline"/>
          <w:lang w:val="en-US" w:eastAsia="zh-CN"/>
        </w:rPr>
        <w:t>产品调研表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299"/>
        <w:gridCol w:w="29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延保价格（过保后维保价格）：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是否有配套耗材和易耗品：有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承诺人：               （手写）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10E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dcterms:modified xsi:type="dcterms:W3CDTF">2023-10-23T02:04:13Z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FB2D6E6EC7D14D53B9651FCF915DCBDB_11</vt:lpwstr>
  </property>
</Properties>
</file>